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!-- Generated by Spire.Doc --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>
        <w:bidi/>
        <w:jc w:val="left"/>
      </w:pPr>
      <w:r>
        <w:rPr>
          <w:rFonts w:cs="Times New Roman"/>
          <w:sz w:val="20"/>
          <w:szCs w:val="20"/>
          <w:rtl/>
        </w:rPr>
        <w:t xml:space="preserve">2 رمضان 1446</w:t>
      </w:r>
    </w:p>
    <w:p>
      <w:pPr>
        <w:jc w:val="right"/>
      </w:pPr>
      <w:r>
        <w:rPr>
          <w:sz w:val="20"/>
        </w:rPr>
        <w:t xml:space="preserve">02/03/2025</w:t>
      </w:r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>
        <w:spacing w:line="360" w:lineRule="auto"/>
        <w:jc w:val="center"/>
      </w:pPr>
      <w:r>
        <w:rPr>
          <w:rFonts w:ascii="Cambria" w:eastAsia="Cambria" w:hAnsi="Cambria" w:cs="Cambria"/>
          <w:b/>
          <w:color w:val="E83F3F"/>
          <w:sz w:val="36"/>
          <w:szCs w:val="36"/>
        </w:rPr>
        <w:t xml:space="preserve">المختصر في صفة العمرة وأحكامها</w:t>
      </w:r>
    </w:p>
    <w:p>
      <w:pPr>
        <w:spacing w:line="360" w:lineRule="auto"/>
        <w:jc w:val="center"/>
      </w:pPr>
      <w:r>
        <w:rPr>
          <w:rFonts w:ascii="Cambria" w:eastAsia="Cambria" w:hAnsi="Cambria" w:cs="Cambria"/>
          <w:b/>
          <w:color w:val="E83F3F"/>
          <w:sz w:val="36"/>
        </w:rPr>
        <w:t xml:space="preserve">Prefácio</w:t>
      </w:r>
    </w:p>
    <w:p>
      <w:pPr>
        <w:sectPr>
          <w:pgSz w:w="8420" w:h="11900"/>
          <w:pgMar w:top="397" w:right="397" w:bottom="397" w:left="397" w:header="85" w:footer="284" w:gutter="0"/>
          <w:pgBorders/>
        </w:sectPr>
      </w:pPr>
      <w:r>
        <w:br w:type="page"/>
      </w:r>
    </w:p>
    <w:p>
      <w:pPr>
        <w:sectPr>
          <w:headerReference w:type="even" r:id="rId1"/>
          <w:headerReference w:type="default" r:id="rId2"/>
          <w:headerReference w:type="first" r:id="rId3"/>
          <w:footerReference w:type="even" r:id="rId4"/>
          <w:footerReference w:type="default" r:id="rId5"/>
          <w:footerReference w:type="first" r:id="rId6"/>
          <w:pgSz w:w="8420" w:h="11900" w:orient="portrait"/>
          <w:pgMar w:top="397" w:right="397" w:bottom="397" w:left="397" w:header="85" w:footer="284" w:gutter="0"/>
          <w:pgBorders/>
        </w:sectPr>
      </w:pPr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Todos louvores pertencem a ALLAH, o Senhor dos mundos, e que a bênção e a paz estejam sobre o nosso Profeta Muhammad e sobre sua família e todos os seus companheiros.</w:t>
      </w:r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Ora bem:</w:t>
      </w:r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Este é um tratado resumido sobre a descrição da 'Umrah, seus regulamentos e suas etiquetas, no qual nos esforçamos para esclarecer a maioria das questões que o peregrino necessita saber.</w:t>
      </w:r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E a ALLAH pedimos que a torne exclusiva para o Seu agrado, e que beneficie todos os muçulmanos.</w:t>
      </w:r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Universidade do Conteúdo Islâmico em todos os idiomas</w:t>
      </w:r>
    </w:p>
    <w:p>
      <w:pPr>
        <w:pStyle w:val="Heading1"/>
        <w:spacing w:before="160" w:after="160" w:line="240" w:lineRule="auto"/>
        <w:ind w:left="0" w:right="0"/>
        <w:jc w:val="center"/>
      </w:pPr>
      <w:bookmarkStart w:id="0" w:name="_Toc_1_3_0000000001"/>
      <w:r>
        <w:rPr>
          <w:rFonts w:ascii="Cambria" w:eastAsia="Cambria" w:hAnsi="Cambria" w:cs="Cambria"/>
          <w:b/>
          <w:i w:val="0"/>
          <w:color w:val="000000"/>
          <w:sz w:val="28"/>
        </w:rPr>
        <w:t xml:space="preserve">Prefácio</w:t>
      </w:r>
      <w:bookmarkEnd w:id="0"/>
    </w:p>
    <w:p>
      <w:pPr>
        <w:pStyle w:val="Heading2"/>
        <w:spacing w:before="0" w:after="0" w:line="240" w:lineRule="auto"/>
        <w:ind w:left="0" w:right="0"/>
        <w:jc w:val="right"/>
      </w:pPr>
      <w:bookmarkStart w:id="1" w:name="_Toc_1_3_0000000002"/>
      <w:r>
        <w:rPr>
          <w:rFonts w:ascii="Cambria" w:eastAsia="Cambria" w:hAnsi="Cambria" w:cs="Cambria"/>
          <w:b/>
          <w:i w:val="0"/>
          <w:color w:val="0070C0"/>
          <w:sz w:val="24"/>
        </w:rPr>
        <w:t xml:space="preserve">Primeiro: Condições para a aceitação da adoração</w:t>
      </w:r>
      <w:bookmarkEnd w:id="1"/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A adoração não é aceita por ALLAH, exceto com duas condições:</w:t>
      </w:r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A sinceridade, que é desejar apenas o agrado de ALLAH e a morada eterna, como disse o Todo-Poderoso:</w:t>
      </w:r>
    </w:p>
    <w:p>
      <w:pPr>
        <w:bidi/>
        <w:spacing w:before="0" w:after="0" w:line="360" w:lineRule="exact"/>
        <w:ind w:left="0" w:right="0"/>
        <w:jc w:val="both"/>
      </w:pPr>
      <w:r>
        <w:rPr>
          <w:rFonts w:ascii="KFGQPC HAFS Uthmanic Script" w:eastAsia="KFGQPC HAFS Uthmanic Script" w:hAnsi="KFGQPC HAFS Uthmanic Script" w:cs="KFGQPC HAFS Uthmanic Script"/>
          <w:b w:val="0"/>
          <w:color w:val="196B24"/>
          <w:sz w:val="24"/>
          <w:szCs w:val="24"/>
          <w:rtl/>
        </w:rPr>
        <w:t xml:space="preserve"> "وما أمروا إلا ليعبدوا الله مخلصين له الدين حنفاء[1]"،</w:t>
      </w:r>
    </w:p>
    <w:p>
      <w:pPr>
        <w:spacing w:before="160" w:after="160" w:line="360" w:lineRule="exact"/>
        <w:ind w:left="0" w:right="0" w:firstLine="397"/>
        <w:jc w:val="both"/>
      </w:pPr>
      <w:r>
        <w:rPr>
          <w:rFonts w:ascii="Arial" w:eastAsia="Arial" w:hAnsi="Arial" w:cs="Arial"/>
          <w:b w:val="0"/>
          <w:i/>
          <w:color w:val="0000FF"/>
          <w:sz w:val="20"/>
        </w:rPr>
        <w:t xml:space="preserve"> </w:t>
      </w:r>
      <w:r>
        <w:rPr>
          <w:rFonts w:ascii="Arial" w:eastAsia="Arial" w:hAnsi="Arial" w:cs="Arial"/>
          <w:b w:val="0"/>
          <w:i/>
          <w:color w:val="0000FF"/>
          <w:sz w:val="20"/>
        </w:rPr>
        <w:t xml:space="preserve">"E não lhes foi ordenado senão que adorassem a ALLAH, sendo sinceros na religião para Ele, como monoteístas (ḥunafā’)."</w:t>
      </w:r>
      <w:r>
        <w:rPr>
          <w:rStyle w:val="FootnoteReference"/>
          <w:rFonts w:ascii="Cambria" w:eastAsia="Cambria" w:hAnsi="Cambria" w:cs="Cambria"/>
          <w:b w:val="0"/>
          <w:color w:val="000000"/>
          <w:sz w:val="20"/>
        </w:rPr>
        <w:footnoteReference w:id="-1"/>
      </w:r>
      <w:r>
        <w:rPr>
          <w:rFonts w:ascii="Cambria" w:eastAsia="Cambria" w:hAnsi="Cambria" w:cs="Cambria"/>
          <w:b w:val="0"/>
          <w:color w:val="000000"/>
          <w:sz w:val="24"/>
        </w:rPr>
        <w:t xml:space="preserve"> E o Profeta - que a paz e bênçãos de Allah estejam sobre ele - disse:</w:t>
      </w:r>
      <w:r>
        <w:rPr>
          <w:rFonts w:ascii="Cambria" w:eastAsia="Cambria" w:hAnsi="Cambria" w:cs="Cambria"/>
          <w:b/>
          <w:i w:val="0"/>
          <w:color w:val="985800"/>
          <w:sz w:val="24"/>
        </w:rPr>
        <w:t xml:space="preserve"> As obras são julgadas pelas intenções, assim cada pessoa será recompensada de acordo com as suas intenções.</w:t>
      </w:r>
      <w:r>
        <w:rPr>
          <w:rFonts w:ascii="Cambria" w:eastAsia="Cambria" w:hAnsi="Cambria" w:cs="Cambria"/>
          <w:b w:val="0"/>
          <w:color w:val="000000"/>
          <w:sz w:val="24"/>
        </w:rPr>
        <w:t xml:space="preserve"> Narrado por Al-Bukhari (1) e Musslim (1907).</w:t>
      </w:r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Seguir o Profeta, que a paz e bênçãos de ALLAH estejam com ele, em palavras e ações, disse o Profeta, que a paz e bênçãos de Deus estejam sobre ele:</w:t>
      </w:r>
      <w:r>
        <w:rPr>
          <w:rFonts w:ascii="Cambria" w:eastAsia="Cambria" w:hAnsi="Cambria" w:cs="Cambria"/>
          <w:b/>
          <w:i w:val="0"/>
          <w:color w:val="985800"/>
          <w:sz w:val="24"/>
        </w:rPr>
        <w:t xml:space="preserve"> Aquele que introduzir algo que não está em conformidade com a nossa religião, será rechaçado.</w:t>
      </w:r>
      <w:r>
        <w:rPr>
          <w:rFonts w:ascii="Cambria" w:eastAsia="Cambria" w:hAnsi="Cambria" w:cs="Cambria"/>
          <w:b w:val="0"/>
          <w:color w:val="000000"/>
          <w:sz w:val="24"/>
        </w:rPr>
        <w:t xml:space="preserve"> Narrado por Al-Bukhari (2697) e Musslim (1718)</w:t>
      </w:r>
      <w:r>
        <w:rPr>
          <w:rFonts w:ascii="Cambria" w:eastAsia="Cambria" w:hAnsi="Cambria" w:cs="Cambria"/>
          <w:b w:val="0"/>
          <w:color w:val="000000"/>
          <w:sz w:val="24"/>
        </w:rPr>
        <w:t xml:space="preserve"> Na versão de Muslim (1718):</w:t>
      </w:r>
      <w:r>
        <w:rPr>
          <w:rFonts w:ascii="Cambria" w:eastAsia="Cambria" w:hAnsi="Cambria" w:cs="Cambria"/>
          <w:b/>
          <w:i w:val="0"/>
          <w:color w:val="985800"/>
          <w:sz w:val="24"/>
        </w:rPr>
        <w:t xml:space="preserve"> Quem praticar uma ação que não está em conformidade com a nossa (religião) será rechaçada.</w:t>
      </w:r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***</w:t>
      </w:r>
    </w:p>
    <w:p>
      <w:pPr>
        <w:pStyle w:val="Heading2"/>
        <w:spacing w:before="0" w:after="0" w:line="240" w:lineRule="auto"/>
        <w:ind w:left="0" w:right="0"/>
        <w:jc w:val="right"/>
      </w:pPr>
      <w:bookmarkStart w:id="2" w:name="_Toc_1_3_0000000003"/>
      <w:r>
        <w:rPr>
          <w:rFonts w:ascii="Cambria" w:eastAsia="Cambria" w:hAnsi="Cambria" w:cs="Cambria"/>
          <w:b/>
          <w:i w:val="0"/>
          <w:color w:val="0070C0"/>
          <w:sz w:val="24"/>
        </w:rPr>
        <w:t xml:space="preserve">Segunda: O julgamento de aprender a descrição de Umrah e suas regras</w:t>
      </w:r>
      <w:bookmarkEnd w:id="2"/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Quem deseja adorar a ALLAH Todo-Poderoso com uma adoração deve aprender a orientação do Profeta - Que a paz e bênçãos de ALLAH estejam sobre ele - nela; para que sua ação esteja de acordo com a Sunnah. O Profeta - Que a paz e bênçãos de ALLAH estejam sobre ele - incentivava as pessoas a segui-lo e a guiar-se por sua orientação; sobre a autoridade de Malik ibn al-Huwairith, que ALLAH esteja satisfeito com ele, disse: O Mensageiro de ALLAH - Que a paz e bênçãos de ALLAH estejam sobre ele - disse:</w:t>
      </w:r>
      <w:r>
        <w:rPr>
          <w:rFonts w:ascii="Cambria" w:eastAsia="Cambria" w:hAnsi="Cambria" w:cs="Cambria"/>
          <w:b/>
          <w:i w:val="0"/>
          <w:color w:val="985800"/>
          <w:sz w:val="24"/>
        </w:rPr>
        <w:t xml:space="preserve"> Observem o salah tal como viram-me a observar</w:t>
      </w:r>
      <w:r>
        <w:rPr>
          <w:rFonts w:ascii="Cambria" w:eastAsia="Cambria" w:hAnsi="Cambria" w:cs="Cambria"/>
          <w:b w:val="0"/>
          <w:color w:val="000000"/>
          <w:sz w:val="24"/>
        </w:rPr>
        <w:t xml:space="preserve"> Narrado por Al-Bukhari (6008)</w:t>
      </w:r>
      <w:r>
        <w:rPr>
          <w:rFonts w:ascii="Cambria" w:eastAsia="Cambria" w:hAnsi="Cambria" w:cs="Cambria"/>
          <w:b w:val="0"/>
          <w:color w:val="000000"/>
          <w:sz w:val="24"/>
        </w:rPr>
        <w:t xml:space="preserve"> Jábir (Que Allah esteja satisfeito com ele) disse:</w:t>
      </w:r>
      <w:r>
        <w:rPr>
          <w:rFonts w:ascii="Cambria" w:eastAsia="Cambria" w:hAnsi="Cambria" w:cs="Cambria"/>
          <w:b/>
          <w:i w:val="0"/>
          <w:color w:val="985800"/>
          <w:sz w:val="24"/>
        </w:rPr>
        <w:t xml:space="preserve"> Vi o Profeta (que a paz e as bênçãos de Allah estejam sobre ele) atirar (as pedras) em sua montaria no dia de "an-nahr" e dizer: 'Tomem de mim os vossos rituais, pois não sei, se realizarei o Hajj depois deste meu Hajj.'</w:t>
      </w:r>
      <w:r>
        <w:rPr>
          <w:rFonts w:ascii="Cambria" w:eastAsia="Cambria" w:hAnsi="Cambria" w:cs="Cambria"/>
          <w:b w:val="0"/>
          <w:color w:val="000000"/>
          <w:sz w:val="24"/>
        </w:rPr>
        <w:t xml:space="preserve"> Narrado por Musslim (1297)</w:t>
      </w:r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***</w:t>
      </w:r>
    </w:p>
    <w:p>
      <w:pPr>
        <w:pStyle w:val="Heading2"/>
        <w:spacing w:before="0" w:after="0" w:line="240" w:lineRule="auto"/>
        <w:ind w:left="0" w:right="0"/>
        <w:jc w:val="right"/>
      </w:pPr>
      <w:bookmarkStart w:id="3" w:name="_Toc_1_3_0000000004"/>
      <w:r>
        <w:rPr>
          <w:rFonts w:ascii="Cambria" w:eastAsia="Cambria" w:hAnsi="Cambria" w:cs="Cambria"/>
          <w:b/>
          <w:i w:val="0"/>
          <w:color w:val="0070C0"/>
          <w:sz w:val="24"/>
        </w:rPr>
        <w:t xml:space="preserve">Terceiro: Virtude do Um’rah</w:t>
      </w:r>
      <w:bookmarkEnd w:id="3"/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A Um’rah possui dois méritos: geral e específico</w:t>
      </w:r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O geral:</w:t>
      </w:r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Abu Hurairah, que ALLAH esteja satisfeito com ele, narrou: O Mensageiro de ALLAH, que a paz e bênçãos de ALLAH estejam sobre ele, disse:</w:t>
      </w:r>
      <w:r>
        <w:rPr>
          <w:rFonts w:ascii="Cambria" w:eastAsia="Cambria" w:hAnsi="Cambria" w:cs="Cambria"/>
          <w:b/>
          <w:i w:val="0"/>
          <w:color w:val="985800"/>
          <w:sz w:val="24"/>
        </w:rPr>
        <w:t xml:space="preserve"> De um Umrah para outro Umrah, há uma expiação das falhas cometidas entre ambos. E o Hajj aceite nao tem outra recompensa senão o Paraíso.</w:t>
      </w:r>
      <w:r>
        <w:rPr>
          <w:rFonts w:ascii="Cambria" w:eastAsia="Cambria" w:hAnsi="Cambria" w:cs="Cambria"/>
          <w:b w:val="0"/>
          <w:color w:val="000000"/>
          <w:sz w:val="24"/>
        </w:rPr>
        <w:t xml:space="preserve"> Narrado por Al-Bukhari (1773) e Musslim (1349).</w:t>
      </w:r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Abdullah ibn Mass'ud - Que ALLAH esteja satisfeito com ele - narrou que o Mensageiro de ALLAH - Que a paz e bênçãos de ALLAH estejam sobre ele - disse:</w:t>
      </w:r>
      <w:r>
        <w:rPr>
          <w:rFonts w:ascii="Cambria" w:eastAsia="Cambria" w:hAnsi="Cambria" w:cs="Cambria"/>
          <w:b/>
          <w:i w:val="0"/>
          <w:color w:val="985800"/>
          <w:sz w:val="24"/>
        </w:rPr>
        <w:t xml:space="preserve"> </w:t>
      </w:r>
      <w:r>
        <w:rPr>
          <w:rFonts w:ascii="Cambria" w:eastAsia="Cambria" w:hAnsi="Cambria" w:cs="Cambria"/>
          <w:b/>
          <w:i w:val="0"/>
          <w:color w:val="985800"/>
          <w:sz w:val="24"/>
        </w:rPr>
        <w:t xml:space="preserve">Alternem entre Hajj e Umrah; porque esses dois removem a pobreza e os pecados, assim como o fole remove a sujeira do ferro, ouro e prata. E o Hajj aceite não tem outra recompensa senão o Paraíso.</w:t>
      </w:r>
      <w:r>
        <w:rPr>
          <w:rStyle w:val="FootnoteReference"/>
          <w:rFonts w:ascii="Cambria" w:eastAsia="Cambria" w:hAnsi="Cambria" w:cs="Cambria"/>
          <w:b w:val="0"/>
          <w:color w:val="000000"/>
          <w:sz w:val="20"/>
        </w:rPr>
        <w:footnoteReference w:id="0"/>
      </w:r>
      <w:r>
        <w:rPr>
          <w:rFonts w:ascii="Cambria" w:eastAsia="Cambria" w:hAnsi="Cambria" w:cs="Cambria"/>
          <w:b w:val="0"/>
          <w:color w:val="000000"/>
          <w:sz w:val="24"/>
        </w:rPr>
        <w:t xml:space="preserve"> Narrado por Tirmizhi (810) e An-Nassai (2631).</w:t>
      </w:r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Segundo Ibn Abbas - Que Allah esteja satisfeito com ele - relatou que o profeta - Que a paz e bênçãos de Allah esteja sobre ele - disse:</w:t>
      </w:r>
      <w:r>
        <w:rPr>
          <w:rFonts w:ascii="Cambria" w:eastAsia="Cambria" w:hAnsi="Cambria" w:cs="Cambria"/>
          <w:b/>
          <w:i w:val="0"/>
          <w:color w:val="985800"/>
          <w:sz w:val="24"/>
        </w:rPr>
        <w:t xml:space="preserve"> </w:t>
      </w:r>
      <w:r>
        <w:rPr>
          <w:rFonts w:ascii="Cambria" w:eastAsia="Cambria" w:hAnsi="Cambria" w:cs="Cambria"/>
          <w:b/>
          <w:i w:val="0"/>
          <w:color w:val="985800"/>
          <w:sz w:val="24"/>
        </w:rPr>
        <w:t xml:space="preserve">Um Umrah, efetuada durante o mês de Ramadan, é equivalente a uma peregrinação efetuada em minha companhia.</w:t>
      </w:r>
      <w:r>
        <w:rPr>
          <w:rStyle w:val="FootnoteReference"/>
          <w:rFonts w:ascii="Cambria" w:eastAsia="Cambria" w:hAnsi="Cambria" w:cs="Cambria"/>
          <w:b w:val="0"/>
          <w:color w:val="000000"/>
          <w:sz w:val="20"/>
        </w:rPr>
        <w:footnoteReference w:id="1"/>
      </w:r>
      <w:r>
        <w:rPr>
          <w:rFonts w:ascii="Cambria" w:eastAsia="Cambria" w:hAnsi="Cambria" w:cs="Cambria"/>
          <w:b w:val="0"/>
          <w:color w:val="000000"/>
          <w:sz w:val="24"/>
        </w:rPr>
        <w:t xml:space="preserve"> Narrado por Al-Bukhari (1863) e Musslim (1256).</w:t>
      </w:r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***</w:t>
      </w:r>
    </w:p>
    <w:p>
      <w:pPr>
        <w:pStyle w:val="Heading1"/>
        <w:spacing w:before="160" w:after="160" w:line="240" w:lineRule="auto"/>
        <w:ind w:left="0" w:right="0"/>
        <w:jc w:val="center"/>
      </w:pPr>
      <w:bookmarkStart w:id="4" w:name="_Toc_1_3_0000000005"/>
      <w:r>
        <w:rPr>
          <w:rFonts w:ascii="Cambria" w:eastAsia="Cambria" w:hAnsi="Cambria" w:cs="Cambria"/>
          <w:b/>
          <w:i w:val="0"/>
          <w:color w:val="000000"/>
          <w:sz w:val="28"/>
        </w:rPr>
        <w:t xml:space="preserve">Descrição de Umrah</w:t>
      </w:r>
      <w:bookmarkEnd w:id="4"/>
    </w:p>
    <w:p>
      <w:pPr>
        <w:pStyle w:val="Heading2"/>
        <w:spacing w:before="0" w:after="0" w:line="240" w:lineRule="auto"/>
        <w:ind w:left="0" w:right="0"/>
        <w:jc w:val="right"/>
      </w:pPr>
      <w:bookmarkStart w:id="5" w:name="_Toc_1_3_0000000006"/>
      <w:r>
        <w:rPr>
          <w:rFonts w:ascii="Cambria" w:eastAsia="Cambria" w:hAnsi="Cambria" w:cs="Cambria"/>
          <w:b/>
          <w:i w:val="0"/>
          <w:color w:val="0070C0"/>
          <w:sz w:val="24"/>
        </w:rPr>
        <w:t xml:space="preserve">Primeiro: Regras dos Limites (Al-Mawáquit)</w:t>
      </w:r>
      <w:bookmarkEnd w:id="5"/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Os Limites: são lugares que o Profeta - Que a paz e bênçãos de Allah estejam sobre ele - designou para que se faça a intenção de Ihram para quem deseja realizar a Peregrinação ou Um’rah.</w:t>
      </w:r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Portanto, quem passar por um desses locais com a intenção de realizar o Hajj ou a Umrah, é-lhe obrigatório fazer o Ihram a partir desse ponto, e não é permitido ultrapassá-lo sem Ihram.</w:t>
      </w:r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E para aquele que está mais próximo de Makkah do que esses miiqaates, então seu miqat é o local onde se encontra; deve intencionar o ihram a partir daí para o Hajj e Um’rah.</w:t>
      </w:r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Quanto aos habitantes de Makkah e aqueles que intencionam o Ihram a partir dela: eles fazem a intenção do Hajj em Makkah, mas para a Um’rah, devem sair para fora do santuário e fazer a intenção do Ihram, como no Taniim ou similar.</w:t>
      </w:r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E quem estiver no avião: deve intencionar o ihram quando estiver próximo ao miqat, preparando-se e vestindo as roupas de ihram antes de se aproximar do miqat. Quando estiver próximo, deve imediatamente fazer a intenção de ihram, não sendo permitido atrasar até que o avião aterre no aeroporto. Pode também precaver-se fazendo o talbiyah antes de se aproximar do miqat, temendo perder o local da talbiyah devido à velocidade do avião.</w:t>
      </w:r>
    </w:p>
    <w:p>
      <w:pPr>
        <w:pStyle w:val="Heading2"/>
        <w:spacing w:before="0" w:after="0" w:line="240" w:lineRule="auto"/>
        <w:ind w:left="0" w:right="0"/>
        <w:jc w:val="right"/>
      </w:pPr>
      <w:bookmarkStart w:id="6" w:name="_Toc_1_3_0000000007"/>
      <w:r>
        <w:rPr>
          <w:rFonts w:ascii="Cambria" w:eastAsia="Cambria" w:hAnsi="Cambria" w:cs="Cambria"/>
          <w:b/>
          <w:i w:val="0"/>
          <w:color w:val="0070C0"/>
          <w:sz w:val="24"/>
        </w:rPr>
        <w:t xml:space="preserve">Segundo: A descrição do Ihram e suas regras:</w:t>
      </w:r>
      <w:bookmarkEnd w:id="6"/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É prescrito para quem deseja fazer o ihram o seguinte:</w:t>
      </w:r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O banho, é uma sunnah fortemente recomendada tanto para homens quanto para mulheres, até mesmo para a mulher no período menstrual e pós-parto.</w:t>
      </w:r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Aplicar o melhor perfume que encontrar, como óleo de oud ou outro, na cabeça e na barba, e não há problema se isso permanecer após o ihram. Quanto à mulher, não é permitido que ela use perfume que tenha aroma, para que os homens estranhos não a cheirem.</w:t>
      </w:r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Vestir as roupas de Ihram, que são o Izar e o Ridá, e a Sunnah é que sejam brancos e limpos ou novos. A mulher pode vestir o que quiser desde que não se exiba com ornamentos, mas deve evitar usar o niqab e as luvas, cobrindo seu rosto e mãos de outra forma.</w:t>
      </w:r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O Ihram após uma oração prescrita, seja obrigatória ou voluntária, não é uma obrigação.</w:t>
      </w:r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Diz: (Labbaika Allahumma Umrah), e se estiver fazendo a Umrah em nome de outra pessoa, diz: (Labbaika Allahumma Umrah 'an fulan).</w:t>
      </w:r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Se alguém que deseja entrar em Ihram estiver com medo de um obstáculo que o impeça de completar seu ritual, deve fazer uma condição ao entrar em ihram, dizendo: (Labbayk Allahumma Um’rah, e se algo me impedir, meu lugar de saída é onde fui impedido). Assim, se ele fizer essa condição e algo o impedir de completar seu ritual, ele está liberado e não há nada sobre ele.</w:t>
      </w:r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Em seguida, deve-se repetir frequentemente o talbiah: (Labbaika allahumma labbaika, labbaika la shariika laka labbaika, innal hamda wanni’imata laka wal mulk, la shariika laka)</w:t>
      </w:r>
      <w:r>
        <w:rPr>
          <w:rStyle w:val="FootnoteReference"/>
          <w:rFonts w:ascii="Cambria" w:eastAsia="Cambria" w:hAnsi="Cambria" w:cs="Cambria"/>
          <w:b w:val="0"/>
          <w:color w:val="000000"/>
          <w:sz w:val="20"/>
        </w:rPr>
        <w:footnoteReference w:id="2"/>
      </w:r>
      <w:r>
        <w:rPr>
          <w:rFonts w:ascii="Cambria" w:eastAsia="Cambria" w:hAnsi="Cambria" w:cs="Cambria"/>
          <w:b w:val="0"/>
          <w:color w:val="000000"/>
          <w:sz w:val="24"/>
        </w:rPr>
        <w:t xml:space="preserve">, o homem deve elevar a sua voz com isso, e a mulher também; desde que não esteja na presença de homens estranhos. É recomendável que o muhrim (pessoa que está vestido de ihram) repita frequentemente o talbiah, especialmente quando há mudanças de condições e tempos, como ao subir um lugar alto, descer a um lugar baixo, ou quando a noite ou o dia se aproximam.</w:t>
      </w:r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A talbiyah é prescrita na Umrah desde o Ihram até que se inicie o tawaf.</w:t>
      </w:r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É obrigatório para quem está no estado de Ihrám ter cuidado para não cair em nenhuma das proibições do Ihrám até que se liberte do seu estado de Ihrám.</w:t>
      </w:r>
    </w:p>
    <w:p>
      <w:pPr>
        <w:pStyle w:val="Heading2"/>
        <w:spacing w:before="0" w:after="0" w:line="240" w:lineRule="auto"/>
        <w:ind w:left="0" w:right="0"/>
        <w:jc w:val="right"/>
      </w:pPr>
      <w:bookmarkStart w:id="7" w:name="_Toc_1_3_0000000008"/>
      <w:r>
        <w:rPr>
          <w:rFonts w:ascii="Cambria" w:eastAsia="Cambria" w:hAnsi="Cambria" w:cs="Cambria"/>
          <w:b/>
          <w:i w:val="0"/>
          <w:color w:val="0070C0"/>
          <w:sz w:val="24"/>
        </w:rPr>
        <w:t xml:space="preserve">Terceiro: A descrição do Tawaf</w:t>
      </w:r>
      <w:bookmarkEnd w:id="7"/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Quando o peregrino entra na Mesquita Sagrada, é recomendado que adiante o pé direito e recite a súplica de entrada na mesquita. Uma das formas mais autênticas de fazê-lo é dizer: "Ó Allah, abre para mim as portas da Tua misericórdia". Esta súplica deve ser dita ao entrar em qualquer mesquita, não sendo exclusiva da Mesquita Sagrada.</w:t>
      </w:r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Quando deseja iniciar o tawaf, interrompe a talbiyah e faz o idhtiba’a. A descrição do idhtiba’a é colocar o meio do manto sob a axila direita e as extremidades sobre o ombro esquerdo. Ao concluir o tawaf, retorna o manto à sua posição original antes do tawaf, pois o idhtiba’a é específico para o tawaf.</w:t>
      </w:r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Em seguida, avança para a pedra negra, toca-a com a mão direita e beija-a. Se não for possível beijá-la, toca-a com a mão e beija a mão. Se não for possível tocá-la com a mão, toca-a com algo que tenha consigo, como um bastão, e beija-o. Se não for possível, então deve se voltar para a pedra e apontar para ela com a mão, sem beijá-la. É preferível não tumultuar para não prejudicar as pessoas nem ser prejudicado por elas.</w:t>
      </w:r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E diz ao tocar ou apontar para a Pedra Negra: (ALLAH é o Maior).</w:t>
      </w:r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Em seguida, toma à direita e mantém a Kaaba à sua esquerda, quando alcançar o rukn al-aimaan (canto que antecede o canto da pedra preta) o toca sem beijar, se não for possível, não deve tumultuar para tocá-lo, nem apontar para ele.</w:t>
      </w:r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E diz entre o vértice do Iemen e a Pedra Negra: "Senhor nosso! Concede-nos o bem nesta vida, e o bem na outra vida, e nos proteja do castigo do Fogo.</w:t>
      </w:r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E sempre que passava pela Pedra Negra, apontava para ela com a mão e dizia: (Allahu Akbar).</w:t>
      </w:r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E ele diz durante o restante de sua circunvolução o que ama de lembrança, súplica e leitura do Alcorão.</w:t>
      </w:r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A sunnah é que se faça o Raml apenas nas três primeiras voltas, e o Raml é andar rápido com passos curtos, enquanto nas quatro voltas restantes não há Raml, mas sim caminha-se normalmente.</w:t>
      </w:r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Quando completar a circunvolução, avance para o local de Abrão e recite:</w:t>
      </w:r>
    </w:p>
    <w:p>
      <w:pPr>
        <w:bidi/>
        <w:spacing w:before="0" w:after="0" w:line="360" w:lineRule="exact"/>
        <w:ind w:left="0" w:right="0"/>
        <w:jc w:val="both"/>
      </w:pPr>
      <w:r>
        <w:rPr>
          <w:rFonts w:ascii="KFGQPC HAFS Uthmanic Script" w:eastAsia="KFGQPC HAFS Uthmanic Script" w:hAnsi="KFGQPC HAFS Uthmanic Script" w:cs="KFGQPC HAFS Uthmanic Script"/>
          <w:b w:val="0"/>
          <w:color w:val="196B24"/>
          <w:sz w:val="24"/>
          <w:szCs w:val="24"/>
          <w:rtl/>
        </w:rPr>
        <w:t xml:space="preserve"> (وَاتَّخِذُوا مِنْ مَقَامِ إِبْرَاهِيمَ مُصَلّىً)،</w:t>
      </w:r>
    </w:p>
    <w:p>
      <w:pPr>
        <w:spacing w:before="160" w:after="160" w:line="360" w:lineRule="exact"/>
        <w:ind w:left="0" w:right="0" w:firstLine="397"/>
        <w:jc w:val="both"/>
      </w:pPr>
      <w:r>
        <w:rPr>
          <w:rFonts w:ascii="Arial" w:eastAsia="Arial" w:hAnsi="Arial" w:cs="Arial"/>
          <w:b w:val="0"/>
          <w:i/>
          <w:color w:val="0000FF"/>
          <w:sz w:val="20"/>
        </w:rPr>
        <w:t xml:space="preserve"> "E tomai o local de Ibrahim (Abraão) como um lugar de oração."</w:t>
      </w:r>
      <w:r>
        <w:rPr>
          <w:rFonts w:ascii="Cambria" w:eastAsia="Cambria" w:hAnsi="Cambria" w:cs="Cambria"/>
          <w:b w:val="0"/>
          <w:color w:val="000000"/>
          <w:sz w:val="24"/>
        </w:rPr>
        <w:t xml:space="preserve"> Em seguida, observa dois rakates atrás dele se possível, caso contrário, reza em qualquer lugar da mesquita; recita no primeiro rakat depois de Al-Fatiha:</w:t>
      </w:r>
    </w:p>
    <w:p>
      <w:pPr>
        <w:bidi/>
        <w:spacing w:before="0" w:after="0" w:line="360" w:lineRule="exact"/>
        <w:ind w:left="0" w:right="0"/>
        <w:jc w:val="both"/>
      </w:pPr>
      <w:r>
        <w:rPr>
          <w:rFonts w:ascii="KFGQPC HAFS Uthmanic Script" w:eastAsia="KFGQPC HAFS Uthmanic Script" w:hAnsi="KFGQPC HAFS Uthmanic Script" w:cs="KFGQPC HAFS Uthmanic Script"/>
          <w:b w:val="0"/>
          <w:color w:val="196B24"/>
          <w:sz w:val="24"/>
          <w:szCs w:val="24"/>
          <w:rtl/>
        </w:rPr>
        <w:t xml:space="preserve"> (قُلْ يَا أَيُّهَا الْكَافِرُونَ)</w:t>
      </w:r>
    </w:p>
    <w:p>
      <w:pPr>
        <w:spacing w:before="160" w:after="160" w:line="360" w:lineRule="exact"/>
        <w:ind w:left="0" w:right="0" w:firstLine="397"/>
        <w:jc w:val="both"/>
      </w:pPr>
      <w:r>
        <w:rPr>
          <w:rFonts w:ascii="Arial" w:eastAsia="Arial" w:hAnsi="Arial" w:cs="Arial"/>
          <w:b w:val="0"/>
          <w:i/>
          <w:color w:val="0000FF"/>
          <w:sz w:val="20"/>
        </w:rPr>
        <w:t xml:space="preserve"> "Dize: Ó vós, descrentes!"</w:t>
      </w:r>
      <w:r>
        <w:rPr>
          <w:rFonts w:ascii="Cambria" w:eastAsia="Cambria" w:hAnsi="Cambria" w:cs="Cambria"/>
          <w:b w:val="0"/>
          <w:color w:val="000000"/>
          <w:sz w:val="24"/>
        </w:rPr>
        <w:t xml:space="preserve"> E no segundo rakat, após Al-Fatiha, lê:</w:t>
      </w:r>
    </w:p>
    <w:p>
      <w:pPr>
        <w:bidi/>
        <w:spacing w:before="0" w:after="0" w:line="360" w:lineRule="exact"/>
        <w:ind w:left="0" w:right="0"/>
        <w:jc w:val="both"/>
      </w:pPr>
      <w:r>
        <w:rPr>
          <w:rFonts w:ascii="KFGQPC HAFS Uthmanic Script" w:eastAsia="KFGQPC HAFS Uthmanic Script" w:hAnsi="KFGQPC HAFS Uthmanic Script" w:cs="KFGQPC HAFS Uthmanic Script"/>
          <w:b w:val="0"/>
          <w:color w:val="196B24"/>
          <w:sz w:val="24"/>
          <w:szCs w:val="24"/>
          <w:rtl/>
        </w:rPr>
        <w:t xml:space="preserve"> (قُلْ هُوَ اللَّهُ أَحَدٌ).</w:t>
      </w:r>
    </w:p>
    <w:p>
      <w:pPr>
        <w:spacing w:before="160" w:after="160" w:line="360" w:lineRule="exact"/>
        <w:ind w:left="0" w:right="0" w:firstLine="397"/>
        <w:jc w:val="both"/>
      </w:pPr>
      <w:r>
        <w:rPr>
          <w:rFonts w:ascii="Arial" w:eastAsia="Arial" w:hAnsi="Arial" w:cs="Arial"/>
          <w:b w:val="0"/>
          <w:i/>
          <w:color w:val="0000FF"/>
          <w:sz w:val="20"/>
        </w:rPr>
        <w:t xml:space="preserve"> "Diz: Ele é Allah, o Único."</w:t>
      </w:r>
    </w:p>
    <w:p>
      <w:pPr>
        <w:pStyle w:val="Heading2"/>
        <w:spacing w:before="0" w:after="0" w:line="240" w:lineRule="auto"/>
        <w:ind w:left="0" w:right="0"/>
        <w:jc w:val="right"/>
      </w:pPr>
      <w:bookmarkStart w:id="8" w:name="_Toc_1_3_0000000009"/>
      <w:r>
        <w:rPr>
          <w:rFonts w:ascii="Cambria" w:eastAsia="Cambria" w:hAnsi="Cambria" w:cs="Cambria"/>
          <w:b/>
          <w:i w:val="0"/>
          <w:color w:val="0070C0"/>
          <w:sz w:val="24"/>
        </w:rPr>
        <w:t xml:space="preserve">Quarto: A característica do Assa'e</w:t>
      </w:r>
      <w:bookmarkEnd w:id="8"/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Quando termina o tawaf e seus dois Rakates, ele se dirige ao Mas'aa; ao aproximar-se do Safaa, recita:</w:t>
      </w:r>
    </w:p>
    <w:p>
      <w:pPr>
        <w:bidi/>
        <w:spacing w:before="0" w:after="0" w:line="360" w:lineRule="exact"/>
        <w:ind w:left="0" w:right="0"/>
        <w:jc w:val="both"/>
      </w:pPr>
      <w:r>
        <w:rPr>
          <w:rFonts w:ascii="KFGQPC HAFS Uthmanic Script" w:eastAsia="KFGQPC HAFS Uthmanic Script" w:hAnsi="KFGQPC HAFS Uthmanic Script" w:cs="KFGQPC HAFS Uthmanic Script"/>
          <w:b w:val="0"/>
          <w:color w:val="196B24"/>
          <w:sz w:val="24"/>
          <w:szCs w:val="24"/>
          <w:rtl/>
        </w:rPr>
        <w:t xml:space="preserve"> (إِنَّ الصَّفَا وَالْمَرْوَةَ مِنْ شَعَائِرِ اللَّه)</w:t>
      </w:r>
    </w:p>
    <w:p>
      <w:pPr>
        <w:spacing w:before="160" w:after="160" w:line="360" w:lineRule="exact"/>
        <w:ind w:left="0" w:right="0" w:firstLine="397"/>
        <w:jc w:val="both"/>
      </w:pPr>
      <w:r>
        <w:rPr>
          <w:rFonts w:ascii="Arial" w:eastAsia="Arial" w:hAnsi="Arial" w:cs="Arial"/>
          <w:b w:val="0"/>
          <w:i/>
          <w:color w:val="0000FF"/>
          <w:sz w:val="20"/>
        </w:rPr>
        <w:t xml:space="preserve"> "Por certo, As-Safā e Al-Marwah estão entre os símbolos de Allah."</w:t>
      </w:r>
      <w:r>
        <w:rPr>
          <w:rFonts w:ascii="Cambria" w:eastAsia="Cambria" w:hAnsi="Cambria" w:cs="Cambria"/>
          <w:b w:val="0"/>
          <w:color w:val="000000"/>
          <w:sz w:val="24"/>
        </w:rPr>
        <w:t xml:space="preserve"> Em seguida, diz: "Começo com o que Allah começou.</w:t>
      </w:r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Então ele sobe em As-Safa até poder ver a Kaabah ou sua direção, e se volta para ela, clamando a unicidade e grandeza de Allah, e diz: “La ilaha Ila Llah wahdahu la sharika lahu, lahul mulk walahul hamdu wa huwa ala kuli shain qadir. La ilaha ila Allah, wahdahu sadaqa wahdahu wa nasuara abdahu wa hazama al-ahzaba wahdahu” (não há divindade digna de ser adorada excepto Allah, o Único que não tem parceiro, dEle é a soberania, Ele merece elogios e Ele é poderoso sobre todas as coisas. Não há divindade digna de ser adorada excepto Allah, O Único, cumpriu com a Sua promessa, socorreu Seu servo e aniquilou os partidos Sozinho). Ele repete isso três vezes, e faz súplicas entre elas.</w:t>
      </w:r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Depois desce do Safaa em direção a Al-Marwah caminhando, ao chegar na marca verde acelera seu rítmo, e ao alcançar a segunda marca verde caminha normalmente, e não é prescrito o saai acelerado para as mulheres.</w:t>
      </w:r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Quando chega no monte Al-Marwa, é prescrito que faça como fez no monte Safaa (parágrafo número 2).</w:t>
      </w:r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Depois desce de Marwa para Safa caminhando, e ao alcançar o primeiro marco verde, corre intensamente; ao chegar ao segundo marco verde, volta a caminhar como de costume.</w:t>
      </w:r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E assim até completar sete voltas; a ida de Safaa para Marwah é uma volta (saai), e a volta de Marwah para Safaa é outra volta (saai).</w:t>
      </w:r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E durante o seu percurso, ele diz o que ama de lembranças, súplica e leitura do Alcorão.</w:t>
      </w:r>
    </w:p>
    <w:p>
      <w:pPr>
        <w:pStyle w:val="Heading2"/>
        <w:spacing w:before="0" w:after="0" w:line="240" w:lineRule="auto"/>
        <w:ind w:left="0" w:right="0"/>
        <w:jc w:val="right"/>
      </w:pPr>
      <w:bookmarkStart w:id="9" w:name="_Toc_1_3_0000000010"/>
      <w:r>
        <w:rPr>
          <w:rFonts w:ascii="Cambria" w:eastAsia="Cambria" w:hAnsi="Cambria" w:cs="Cambria"/>
          <w:b/>
          <w:i w:val="0"/>
          <w:color w:val="0070C0"/>
          <w:sz w:val="24"/>
        </w:rPr>
        <w:t xml:space="preserve">Quinta: A descrição do rapar do cabelo e diminuição dele:</w:t>
      </w:r>
      <w:bookmarkEnd w:id="9"/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Quando o mu'tamir completa seu tawaf e sa'i, é obrigatório que ele raspe a cabeça ou corte o cabelo se for homem, e a sunnah é que a raspagem ou o corte abranja toda a cabeça.</w:t>
      </w:r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Raspar o cabelo é melhor que cortar curto, exceto se o tempo para o Hajj estiver próximo e não houver tempo suficiente para o cabelo crescer; então, o melhor é apenas cortar curto.</w:t>
      </w:r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A mulher corta das pontas do seu cabelo a medida da ponta do dedo.</w:t>
      </w:r>
    </w:p>
    <w:p>
      <w:pPr>
        <w:pStyle w:val="Heading1"/>
        <w:spacing w:before="160" w:after="160" w:line="240" w:lineRule="auto"/>
        <w:ind w:left="0" w:right="0"/>
        <w:jc w:val="center"/>
      </w:pPr>
      <w:bookmarkStart w:id="10" w:name="_Toc_1_3_0000000011"/>
      <w:r>
        <w:rPr>
          <w:rFonts w:ascii="Cambria" w:eastAsia="Cambria" w:hAnsi="Cambria" w:cs="Cambria"/>
          <w:b/>
          <w:i w:val="0"/>
          <w:color w:val="000000"/>
          <w:sz w:val="28"/>
        </w:rPr>
        <w:t xml:space="preserve">As coisas proibidas durante o estado de Ihrám</w:t>
      </w:r>
      <w:bookmarkEnd w:id="10"/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As proibições do Ihram são:</w:t>
      </w:r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Rapar o cabelo, cortá-lo ou arrancá-lo, de qualquer parte de seu corpo.</w:t>
      </w:r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Cortar todas as unhas ou algumas delas dos pés ou das mãos.</w:t>
      </w:r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Cobrir a cabeça com algo ligado a ela, como: o gorro, a ghutra, o turbante, colocar o manto sobre a cabeça, ou colocar um lenço, ou cobertor, ou papelão, ou qualquer outra coisa que tenha o propósito de cobrir. Isso é específico para o homem, não para a mulher.</w:t>
      </w:r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O uso de roupa habitual feita sob medida para o corpo; em sua forma usual, como: a roupa feita sob medida, as calças, a camisa, as meias, e as luvas. E isso é específico para o homem, não para a mulher; pois ela é apenas proibida de:</w:t>
      </w:r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Usar o niqab ou a burca ou o litham semelhante ao niqab, e é obrigatório para ela cobrir seu rosto na presença de homens estranhos com o véu habitual para o rosto; mesmo que o véu toque seu rosto, não é prescrito para ela colocar uma faixa – ou algo semelhante – na cabeça com o propósito de evitar que o véu toque o rosto; pois não há nada que indique a legitimidade disso.</w:t>
      </w:r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Usar meias nas mãos, e é obrigatório para ela cobrir suas mãos na presença de homens estranhos colocando-as dentro de sua abaya.</w:t>
      </w:r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Usar perfume no corpo ou nas roupas de ihram.</w:t>
      </w:r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Matar ou caçar animais selvagens, ou caçar mesmo sem matar:</w:t>
      </w:r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Al-Khitbah, para si mesmo ou para outro.</w:t>
      </w:r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Celebrar o contrato de An-Nikáh</w:t>
      </w:r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Carícias sem concretização do acto sexual; como beijos e toques com desejo.</w:t>
      </w:r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As relações íntimas, que é a cópula na vúlva.</w:t>
      </w:r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E Allah sabe mais! Que a paz e bênçãos estejam sobre o nosso profeta Muhammad.</w:t>
      </w:r>
    </w:p>
    <w:p>
      <w:pPr>
        <w:pStyle w:val="Heading1"/>
        <w:spacing w:before="160" w:after="160" w:line="240" w:lineRule="auto"/>
        <w:ind w:left="0" w:right="0"/>
        <w:jc w:val="center"/>
      </w:pPr>
      <w:bookmarkStart w:id="11" w:name="_Toc_1_3_0000000012"/>
      <w:r>
        <w:rPr>
          <w:rFonts w:ascii="Cambria" w:eastAsia="Cambria" w:hAnsi="Cambria" w:cs="Cambria"/>
          <w:b/>
          <w:i w:val="0"/>
          <w:color w:val="000000"/>
          <w:sz w:val="28"/>
        </w:rPr>
        <w:t xml:space="preserve">Resumo das Obras do Umrah (a ser colocado na capa ou na última página)</w:t>
      </w:r>
      <w:bookmarkEnd w:id="11"/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Tomar banho</w:t>
      </w:r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O uso do perfume</w:t>
      </w:r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Usar as vestimentas de ihram.</w:t>
      </w:r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Ihram, que é a intenção de entrar no ritual.</w:t>
      </w:r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O Talbiyyah</w:t>
      </w:r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Tawaf em torno da Kaabah</w:t>
      </w:r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Observar dois rakates atrás do maqam.</w:t>
      </w:r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Sa'i entre Safa e Marwa.</w:t>
      </w:r>
    </w:p>
    <w:p>
      <w:pPr>
        <w:spacing w:before="160" w:after="160" w:line="216" w:lineRule="auto"/>
        <w:ind w:left="0" w:right="0" w:firstLine="397"/>
        <w:jc w:val="both"/>
        <w:sectPr>
          <w:pgSz w:w="8420" w:h="11900" w:orient="portrait"/>
          <w:pgMar w:top="397" w:right="397" w:bottom="397" w:left="397" w:header="85" w:footer="284" w:gutter="0"/>
          <w:pgBorders/>
        </w:sectPr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O rapar do cabelo ou diminuição dele.</w:t>
      </w:r>
    </w:p>
    <w:p>
      <w:pPr>
        <w:pStyle w:val="IndexStyle"/>
        <w:spacing w:before="0" w:after="0" w:line="400" w:lineRule="exact"/>
        <w:jc w:val="both"/>
      </w:pPr>
      <w:r>
        <w:rPr>
          <w:b/>
        </w:rPr>
        <w:t xml:space="preserve">Index</w:t>
      </w:r>
    </w:p>
    <w:p>
      <w:pPr>
        <w:pStyle w:val="IndexStyle"/>
        <w:spacing w:before="0" w:after="0" w:line="400" w:lineRule="exact"/>
        <w:jc w:val="both"/>
        <w:rPr/>
      </w:pPr>
    </w:p>
    <w:p>
      <w:pPr>
        <w:pStyle w:val="IndexStyle"/>
        <w:tabs>
          <w:tab w:val="right" w:leader="dot" w:pos="7616"/>
        </w:tabs>
        <w:spacing w:before="0" w:after="0" w:line="400" w:lineRule="exact"/>
        <w:jc w:val="both"/>
      </w:pPr>
      <w:r>
        <w:fldChar w:fldCharType="begin"/>
      </w:r>
      <w:r>
        <w:instrText xml:space="preserve">TOC \o "1-3" \h \z </w:instrText>
      </w:r>
      <w:r>
        <w:fldChar w:fldCharType="separate"/>
      </w:r>
      <w:hyperlink w:anchor="_Toc_1_3_0000000001" w:history="1">
        <w:r>
          <w:rPr>
            <w:i w:val="0"/>
          </w:rPr>
          <w:t xml:space="preserve">Prefácio</w:t>
        </w:r>
        <w:r>
          <w:tab/>
        </w:r>
        <w:r>
          <w:fldChar w:fldCharType="begin"/>
        </w:r>
        <w:r>
          <w:instrText xml:space="preserve">PAGEREF _Toc_1_3_0000000001 \h</w:instrText>
        </w:r>
        <w:r>
          <w:fldChar w:fldCharType="separate"/>
        </w:r>
        <w:r>
          <w:t xml:space="preserve">3</w:t>
        </w:r>
        <w:r>
          <w:fldChar w:fldCharType="end"/>
        </w:r>
      </w:hyperlink>
    </w:p>
    <w:p>
      <w:pPr>
        <w:pStyle w:val="IndexStyle"/>
        <w:tabs>
          <w:tab w:val="right" w:leader="dot" w:pos="7616"/>
        </w:tabs>
        <w:spacing w:before="0" w:after="0" w:line="400" w:lineRule="exact"/>
        <w:jc w:val="both"/>
      </w:pPr>
      <w:hyperlink w:anchor="_Toc_1_3_0000000002" w:history="1">
        <w:r>
          <w:t xml:space="preserve">Primeiro: Condições para a aceitação da adoração</w:t>
        </w:r>
        <w:r>
          <w:tab/>
        </w:r>
        <w:r>
          <w:fldChar w:fldCharType="begin"/>
        </w:r>
        <w:r>
          <w:instrText xml:space="preserve">PAGEREF _Toc_1_3_0000000002 \h</w:instrText>
        </w:r>
        <w:r>
          <w:fldChar w:fldCharType="separate"/>
        </w:r>
        <w:r>
          <w:t xml:space="preserve">3</w:t>
        </w:r>
        <w:r>
          <w:fldChar w:fldCharType="end"/>
        </w:r>
      </w:hyperlink>
    </w:p>
    <w:p>
      <w:pPr>
        <w:pStyle w:val="IndexStyle"/>
        <w:tabs>
          <w:tab w:val="right" w:leader="dot" w:pos="7616"/>
        </w:tabs>
        <w:spacing w:before="0" w:after="0" w:line="400" w:lineRule="exact"/>
        <w:jc w:val="both"/>
      </w:pPr>
      <w:hyperlink w:anchor="_Toc_1_3_0000000003" w:history="1">
        <w:r>
          <w:t xml:space="preserve">Segunda: O julgamento de aprender a descrição de Umrah e suas regras</w:t>
        </w:r>
        <w:r>
          <w:tab/>
        </w:r>
        <w:r>
          <w:fldChar w:fldCharType="begin"/>
        </w:r>
        <w:r>
          <w:instrText xml:space="preserve">PAGEREF _Toc_1_3_0000000003 \h</w:instrText>
        </w:r>
        <w:r>
          <w:fldChar w:fldCharType="separate"/>
        </w:r>
        <w:r>
          <w:t xml:space="preserve">4</w:t>
        </w:r>
        <w:r>
          <w:fldChar w:fldCharType="end"/>
        </w:r>
      </w:hyperlink>
    </w:p>
    <w:p>
      <w:pPr>
        <w:pStyle w:val="IndexStyle"/>
        <w:tabs>
          <w:tab w:val="right" w:leader="dot" w:pos="7616"/>
        </w:tabs>
        <w:spacing w:before="0" w:after="0" w:line="400" w:lineRule="exact"/>
        <w:jc w:val="both"/>
      </w:pPr>
      <w:hyperlink w:anchor="_Toc_1_3_0000000004" w:history="1">
        <w:r>
          <w:t xml:space="preserve">Terceiro: Virtude do Um’rah</w:t>
        </w:r>
        <w:r>
          <w:tab/>
        </w:r>
        <w:r>
          <w:fldChar w:fldCharType="begin"/>
        </w:r>
        <w:r>
          <w:instrText xml:space="preserve">PAGEREF _Toc_1_3_0000000004 \h</w:instrText>
        </w:r>
        <w:r>
          <w:fldChar w:fldCharType="separate"/>
        </w:r>
        <w:r>
          <w:t xml:space="preserve">4</w:t>
        </w:r>
        <w:r>
          <w:fldChar w:fldCharType="end"/>
        </w:r>
      </w:hyperlink>
    </w:p>
    <w:p>
      <w:pPr>
        <w:pStyle w:val="IndexStyle"/>
        <w:tabs>
          <w:tab w:val="right" w:leader="dot" w:pos="7616"/>
        </w:tabs>
        <w:spacing w:before="0" w:after="0" w:line="400" w:lineRule="exact"/>
        <w:jc w:val="both"/>
      </w:pPr>
      <w:hyperlink w:anchor="_Toc_1_3_0000000005" w:history="1">
        <w:r>
          <w:rPr>
            <w:i w:val="0"/>
          </w:rPr>
          <w:t xml:space="preserve">Descrição de Umrah</w:t>
        </w:r>
        <w:r>
          <w:tab/>
        </w:r>
        <w:r>
          <w:fldChar w:fldCharType="begin"/>
        </w:r>
        <w:r>
          <w:instrText xml:space="preserve">PAGEREF _Toc_1_3_0000000005 \h</w:instrText>
        </w:r>
        <w:r>
          <w:fldChar w:fldCharType="separate"/>
        </w:r>
        <w:r>
          <w:t xml:space="preserve">5</w:t>
        </w:r>
        <w:r>
          <w:fldChar w:fldCharType="end"/>
        </w:r>
      </w:hyperlink>
    </w:p>
    <w:p>
      <w:pPr>
        <w:pStyle w:val="IndexStyle"/>
        <w:tabs>
          <w:tab w:val="right" w:leader="dot" w:pos="7616"/>
        </w:tabs>
        <w:spacing w:before="0" w:after="0" w:line="400" w:lineRule="exact"/>
        <w:jc w:val="both"/>
      </w:pPr>
      <w:hyperlink w:anchor="_Toc_1_3_0000000006" w:history="1">
        <w:r>
          <w:t xml:space="preserve">Primeiro: Regras dos Limites (Al-Mawáquit)</w:t>
        </w:r>
        <w:r>
          <w:tab/>
        </w:r>
        <w:r>
          <w:fldChar w:fldCharType="begin"/>
        </w:r>
        <w:r>
          <w:instrText xml:space="preserve">PAGEREF _Toc_1_3_0000000006 \h</w:instrText>
        </w:r>
        <w:r>
          <w:fldChar w:fldCharType="separate"/>
        </w:r>
        <w:r>
          <w:t xml:space="preserve">5</w:t>
        </w:r>
        <w:r>
          <w:fldChar w:fldCharType="end"/>
        </w:r>
      </w:hyperlink>
    </w:p>
    <w:p>
      <w:pPr>
        <w:pStyle w:val="IndexStyle"/>
        <w:tabs>
          <w:tab w:val="right" w:leader="dot" w:pos="7616"/>
        </w:tabs>
        <w:spacing w:before="0" w:after="0" w:line="400" w:lineRule="exact"/>
        <w:jc w:val="both"/>
      </w:pPr>
      <w:hyperlink w:anchor="_Toc_1_3_0000000007" w:history="1">
        <w:r>
          <w:t xml:space="preserve">Segundo: A descrição do Ihram e suas regras:</w:t>
        </w:r>
        <w:r>
          <w:tab/>
        </w:r>
        <w:r>
          <w:fldChar w:fldCharType="begin"/>
        </w:r>
        <w:r>
          <w:instrText xml:space="preserve">PAGEREF _Toc_1_3_0000000007 \h</w:instrText>
        </w:r>
        <w:r>
          <w:fldChar w:fldCharType="separate"/>
        </w:r>
        <w:r>
          <w:t xml:space="preserve">5</w:t>
        </w:r>
        <w:r>
          <w:fldChar w:fldCharType="end"/>
        </w:r>
      </w:hyperlink>
    </w:p>
    <w:p>
      <w:pPr>
        <w:pStyle w:val="IndexStyle"/>
        <w:tabs>
          <w:tab w:val="right" w:leader="dot" w:pos="7616"/>
        </w:tabs>
        <w:spacing w:before="0" w:after="0" w:line="400" w:lineRule="exact"/>
        <w:jc w:val="both"/>
      </w:pPr>
      <w:hyperlink w:anchor="_Toc_1_3_0000000008" w:history="1">
        <w:r>
          <w:t xml:space="preserve">Terceiro: A descrição do Tawaf</w:t>
        </w:r>
        <w:r>
          <w:tab/>
        </w:r>
        <w:r>
          <w:fldChar w:fldCharType="begin"/>
        </w:r>
        <w:r>
          <w:instrText xml:space="preserve">PAGEREF _Toc_1_3_0000000008 \h</w:instrText>
        </w:r>
        <w:r>
          <w:fldChar w:fldCharType="separate"/>
        </w:r>
        <w:r>
          <w:t xml:space="preserve">7</w:t>
        </w:r>
        <w:r>
          <w:fldChar w:fldCharType="end"/>
        </w:r>
      </w:hyperlink>
    </w:p>
    <w:p>
      <w:pPr>
        <w:pStyle w:val="IndexStyle"/>
        <w:tabs>
          <w:tab w:val="right" w:leader="dot" w:pos="7616"/>
        </w:tabs>
        <w:spacing w:before="0" w:after="0" w:line="400" w:lineRule="exact"/>
        <w:jc w:val="both"/>
      </w:pPr>
      <w:hyperlink w:anchor="_Toc_1_3_0000000009" w:history="1">
        <w:r>
          <w:t xml:space="preserve">Quarto: A característica do Assa'e</w:t>
        </w:r>
        <w:r>
          <w:tab/>
        </w:r>
        <w:r>
          <w:fldChar w:fldCharType="begin"/>
        </w:r>
        <w:r>
          <w:instrText xml:space="preserve">PAGEREF _Toc_1_3_0000000009 \h</w:instrText>
        </w:r>
        <w:r>
          <w:fldChar w:fldCharType="separate"/>
        </w:r>
        <w:r>
          <w:t xml:space="preserve">8</w:t>
        </w:r>
        <w:r>
          <w:fldChar w:fldCharType="end"/>
        </w:r>
      </w:hyperlink>
    </w:p>
    <w:p>
      <w:pPr>
        <w:pStyle w:val="IndexStyle"/>
        <w:tabs>
          <w:tab w:val="right" w:leader="dot" w:pos="7616"/>
        </w:tabs>
        <w:spacing w:before="0" w:after="0" w:line="400" w:lineRule="exact"/>
        <w:jc w:val="both"/>
      </w:pPr>
      <w:hyperlink w:anchor="_Toc_1_3_0000000010" w:history="1">
        <w:r>
          <w:t xml:space="preserve">Quinta: A descrição do rapar do cabelo e diminuição dele:</w:t>
        </w:r>
        <w:r>
          <w:tab/>
        </w:r>
        <w:r>
          <w:fldChar w:fldCharType="begin"/>
        </w:r>
        <w:r>
          <w:instrText xml:space="preserve">PAGEREF _Toc_1_3_0000000010 \h</w:instrText>
        </w:r>
        <w:r>
          <w:fldChar w:fldCharType="separate"/>
        </w:r>
        <w:r>
          <w:t xml:space="preserve">9</w:t>
        </w:r>
        <w:r>
          <w:fldChar w:fldCharType="end"/>
        </w:r>
      </w:hyperlink>
    </w:p>
    <w:p>
      <w:pPr>
        <w:pStyle w:val="IndexStyle"/>
        <w:tabs>
          <w:tab w:val="right" w:leader="dot" w:pos="7616"/>
        </w:tabs>
        <w:spacing w:before="0" w:after="0" w:line="400" w:lineRule="exact"/>
        <w:jc w:val="both"/>
      </w:pPr>
      <w:hyperlink w:anchor="_Toc_1_3_0000000011" w:history="1">
        <w:r>
          <w:rPr>
            <w:i w:val="0"/>
          </w:rPr>
          <w:t xml:space="preserve">As coisas proibidas durante o estado de Ihrám</w:t>
        </w:r>
        <w:r>
          <w:tab/>
        </w:r>
        <w:r>
          <w:fldChar w:fldCharType="begin"/>
        </w:r>
        <w:r>
          <w:instrText xml:space="preserve">PAGEREF _Toc_1_3_0000000011 \h</w:instrText>
        </w:r>
        <w:r>
          <w:fldChar w:fldCharType="separate"/>
        </w:r>
        <w:r>
          <w:t xml:space="preserve">9</w:t>
        </w:r>
        <w:r>
          <w:fldChar w:fldCharType="end"/>
        </w:r>
      </w:hyperlink>
    </w:p>
    <w:p>
      <w:pPr>
        <w:pStyle w:val="IndexStyle"/>
        <w:tabs>
          <w:tab w:val="right" w:leader="dot" w:pos="7616"/>
        </w:tabs>
        <w:spacing w:before="0" w:after="0" w:line="400" w:lineRule="exact"/>
        <w:jc w:val="both"/>
      </w:pPr>
      <w:hyperlink w:anchor="_Toc_1_3_0000000012" w:history="1">
        <w:r>
          <w:rPr>
            <w:i w:val="0"/>
          </w:rPr>
          <w:t xml:space="preserve">Resumo das Obras do Umrah (a ser colocado na capa ou na última página)</w:t>
        </w:r>
        <w:r>
          <w:tab/>
        </w:r>
        <w:r>
          <w:fldChar w:fldCharType="begin"/>
        </w:r>
        <w:r>
          <w:instrText xml:space="preserve">PAGEREF _Toc_1_3_0000000012 \h</w:instrText>
        </w:r>
        <w:r>
          <w:fldChar w:fldCharType="separate"/>
        </w:r>
        <w:r>
          <w:t xml:space="preserve">10</w:t>
        </w:r>
        <w:r>
          <w:fldChar w:fldCharType="end"/>
        </w:r>
      </w:hyperlink>
    </w:p>
    <w:p>
      <w:pPr>
        <w:pStyle w:val="IndexStyle"/>
        <w:spacing w:before="0" w:after="0" w:line="400" w:lineRule="exact"/>
        <w:jc w:val="both"/>
      </w:pPr>
      <w:r>
        <w:fldChar w:fldCharType="end"/>
      </w:r>
    </w:p>
    <w:sectPr>
      <w:pgSz w:w="8420" w:h="11900" w:orient="portrait"/>
      <w:pgMar w:top="397" w:right="397" w:bottom="397" w:left="397" w:header="85" w:footer="284" w:gutter="0"/>
      <w:pgBorders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/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/>
  </w:p>
  <w:p>
    <w:pPr>
      <w:jc w:val="center"/>
    </w:pPr>
    <w:r>
      <w:rPr>
        <w:rFonts w:ascii="Cambria" w:eastAsia="Cambria" w:hAnsi="Cambria" w:cs="Cambria"/>
        <w:b w:val="0"/>
        <w:color w:val="000000"/>
        <w:sz w:val="20"/>
      </w:rPr>
      <w:fldChar w:fldCharType="begin"/>
    </w:r>
    <w:r>
      <w:rPr>
        <w:rFonts w:ascii="Cambria" w:eastAsia="Cambria" w:hAnsi="Cambria" w:cs="Cambria"/>
        <w:b w:val="0"/>
        <w:color w:val="000000"/>
        <w:sz w:val="20"/>
      </w:rPr>
      <w:instrText xml:space="preserve">PAGE "Page Number"</w:instrText>
    </w:r>
    <w:r>
      <w:fldChar w:fldCharType="separate"/>
    </w:r>
    <w:r>
      <w:rPr>
        <w:rFonts w:ascii="Cambria" w:eastAsia="Cambria" w:hAnsi="Cambria" w:cs="Cambria"/>
        <w:b w:val="0"/>
        <w:color w:val="000000"/>
        <w:sz w:val="20"/>
      </w:rPr>
      <w:t xml:space="preserve">11</w:t>
    </w:r>
    <w:r>
      <w:fldChar w:fldCharType="end"/>
    </w:r>
  </w:p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/>
  </w:p>
</w:ftr>
</file>

<file path=word/footnotes.xml><?xml version="1.0" encoding="utf-8"?>
<w:footnotes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mc="http://schemas.openxmlformats.org/markup-compatibility/2006" xmlns:w="http://schemas.openxmlformats.org/wordprocessingml/2006/main">
  <w:footnote w:id="-1">
    <w:p>
      <w:pPr/>
      <w:r>
        <w:rPr>
          <w:rStyle w:val="FootnoteReference"/>
          <w:rFonts w:ascii="Cambria" w:eastAsia="Cambria" w:hAnsi="Cambria" w:cs="Cambria"/>
          <w:b w:val="0"/>
          <w:color w:val="000000"/>
          <w:sz w:val="20"/>
        </w:rPr>
        <w:footnoteRef/>
      </w:r>
      <w:r>
        <w:t xml:space="preserve"> </w:t>
      </w:r>
      <w:r>
        <w:rPr>
          <w:rFonts w:ascii="Cambria" w:eastAsia="Cambria" w:hAnsi="Cambria" w:cs="Cambria"/>
          <w:color w:val="000000"/>
          <w:sz w:val="20"/>
        </w:rPr>
        <w:t xml:space="preserve">Isto é: Voltando-se para Ele e para Sua adoração, afastando-se de tudo o que não seja Ele. Tafsir As-Sa'di (p.538)</w:t>
      </w:r>
    </w:p>
  </w:footnote>
  <w:footnote w:id="0">
    <w:p>
      <w:pPr/>
      <w:r>
        <w:rPr>
          <w:rStyle w:val="FootnoteReference"/>
          <w:rFonts w:ascii="Cambria" w:eastAsia="Cambria" w:hAnsi="Cambria" w:cs="Cambria"/>
          <w:b w:val="0"/>
          <w:color w:val="000000"/>
          <w:sz w:val="20"/>
        </w:rPr>
        <w:footnoteRef/>
      </w:r>
      <w:r>
        <w:t xml:space="preserve"> </w:t>
      </w:r>
      <w:r>
        <w:rPr>
          <w:rFonts w:ascii="Cambria" w:eastAsia="Cambria" w:hAnsi="Cambria" w:cs="Cambria"/>
          <w:color w:val="000000"/>
          <w:sz w:val="20"/>
        </w:rPr>
        <w:t xml:space="preserve">Local do fogo do ferreiro e do ourives. Al-Tamhid por Ibn Abd al-Barr (15/102)</w:t>
      </w:r>
    </w:p>
  </w:footnote>
  <w:footnote w:id="1">
    <w:p>
      <w:pPr/>
      <w:r>
        <w:rPr>
          <w:rStyle w:val="FootnoteReference"/>
          <w:rFonts w:ascii="Cambria" w:eastAsia="Cambria" w:hAnsi="Cambria" w:cs="Cambria"/>
          <w:b w:val="0"/>
          <w:color w:val="000000"/>
          <w:sz w:val="20"/>
        </w:rPr>
        <w:footnoteRef/>
      </w:r>
      <w:r>
        <w:t xml:space="preserve"> </w:t>
      </w:r>
      <w:r>
        <w:rPr>
          <w:rFonts w:ascii="Cambria" w:eastAsia="Cambria" w:hAnsi="Cambria" w:cs="Cambria"/>
          <w:color w:val="000000"/>
          <w:sz w:val="20"/>
        </w:rPr>
        <w:t xml:space="preserve">Isto é: ser justo na argumentação comigo, como veio noutra narrativa.</w:t>
      </w:r>
    </w:p>
  </w:footnote>
  <w:footnote w:id="2">
    <w:p>
      <w:pPr/>
      <w:r>
        <w:rPr>
          <w:rStyle w:val="FootnoteReference"/>
          <w:rFonts w:ascii="Cambria" w:eastAsia="Cambria" w:hAnsi="Cambria" w:cs="Cambria"/>
          <w:b w:val="0"/>
          <w:color w:val="000000"/>
          <w:sz w:val="20"/>
        </w:rPr>
        <w:footnoteRef/>
      </w:r>
      <w:r>
        <w:t xml:space="preserve"> </w:t>
      </w:r>
      <w:r>
        <w:rPr>
          <w:rFonts w:ascii="Cambria" w:eastAsia="Cambria" w:hAnsi="Cambria" w:cs="Cambria"/>
          <w:color w:val="000000"/>
          <w:sz w:val="20"/>
        </w:rPr>
        <w:t xml:space="preserve">O significado da expressão do ser humano: (Labbayk) é uma resposta a Ti, ó Senhor, uma vez após outra, e seu significado é a resposta do ser humano ao seu Senhor e sua permanência na obediência a Ele. "Inna al-hamda wa an-ni'mata laka wa al-mulk" – O louvor: é descrever o louvado com perfeição, com amor e exaltação, e quando repetido, torna-se elogio. A bênção: é o que Allah concede a Seus servos, alcançando o desejado e afastando o indesejado. E a expressão: (al-mulk) significa que o domínio é Teu, pois Allah, o Altíssimo, é o único proprietário. E a expressão: (la sharika lak) significa que ninguém compartilha Contigo o que é exclusivo de Allah, o Poderoso e Majestoso, de Seus atributos perfeitos, incluindo Sua exclusividade no domínio, criação, administração e divindade. Resumo das Fatawas e Mensagens de Al-Uthaymin (22/96).</w:t>
      </w:r>
    </w:p>
  </w:footnote>
</w:footnotes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/>
  </w:p>
</w:hd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/>
  </w:p>
</w:hd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footnotePr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1">
    <w:name w:val="Heading 1"/>
    <w:basedOn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FootnoteReference">
    <w:name w:val="Footnote Reference"/>
    <w:rPr>
      <w:vertAlign w:val="superscript"/>
    </w:rPr>
  </w:style>
  <w:style w:type="paragraph" w:styleId="TOC1">
    <w:name w:val="TOC 1"/>
    <w:basedOn w:val="Normal"/>
    <w:qFormat/>
    <w:rPr>
      <w:lang w:val="en-US"/>
    </w:rPr>
  </w:style>
  <w:style w:type="paragraph" w:styleId="TOC2">
    <w:name w:val="TOC 2"/>
    <w:basedOn w:val="Normal"/>
    <w:qFormat/>
    <w:pPr>
      <w:ind w:left="240"/>
    </w:pPr>
    <w:rPr/>
  </w:style>
  <w:style w:type="character" w:default="1" w:styleId="DefaultParagraphFont">
    <w:name w:val="Default Paragraph Font"/>
    <w:uiPriority w:val="1"/>
    <w:semiHidden/>
    <w:unhideWhenUsed/>
    <w:rPr/>
  </w:style>
  <w:style w:type="paragraph" w:styleId="IndexStyle">
    <w:name w:val="IndexStyle"/>
    <w:basedOn w:val="Normal"/>
    <w:qFormat/>
    <w:rPr>
      <w:rFonts w:ascii="Cambria" w:eastAsia="Cambria" w:hAnsi="Cambria" w:cs="Cambria"/>
      <w:b w:val="0"/>
      <w:color w:val="000000"/>
      <w:sz w:val="24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10" Type="http://schemas.openxmlformats.org/officeDocument/2006/relationships/settings" Target="settings.xml" /><Relationship Id="rId2" Type="http://schemas.openxmlformats.org/officeDocument/2006/relationships/header" Target="header2.xml" /><Relationship Id="rId3" Type="http://schemas.openxmlformats.org/officeDocument/2006/relationships/header" Target="header3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notes" Target="footnotes.xml" /><Relationship Id="rId8" Type="http://schemas.openxmlformats.org/officeDocument/2006/relationships/styles" Target="styles.xml" /><Relationship Id="rId9" Type="http://schemas.openxmlformats.org/officeDocument/2006/relationships/webSettings" Target="web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Pages>11</Pages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2025-03-02T09:59:21Z</dcterms:created>
  <dcterms:modified xsi:type="dcterms:W3CDTF">2025-03-02T09:59:21Z</dcterms:modified>
</cp:coreProperties>
</file>